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42" w:rsidRPr="00A64253" w:rsidRDefault="00312DC8" w:rsidP="001F115E">
      <w:pPr>
        <w:jc w:val="center"/>
        <w:rPr>
          <w:b/>
          <w:color w:val="943634" w:themeColor="accent2" w:themeShade="BF"/>
          <w:sz w:val="28"/>
        </w:rPr>
      </w:pPr>
      <w:r w:rsidRPr="00A64253">
        <w:rPr>
          <w:b/>
          <w:color w:val="943634" w:themeColor="accent2" w:themeShade="BF"/>
          <w:sz w:val="28"/>
        </w:rPr>
        <w:t>Travail noté 2</w:t>
      </w:r>
      <w:r w:rsidR="00813C8A">
        <w:rPr>
          <w:b/>
          <w:color w:val="943634" w:themeColor="accent2" w:themeShade="BF"/>
          <w:sz w:val="28"/>
        </w:rPr>
        <w:t xml:space="preserve">  - Volet B</w:t>
      </w:r>
    </w:p>
    <w:p w:rsidR="00813C8A" w:rsidRPr="004768E4" w:rsidRDefault="00813C8A" w:rsidP="00813C8A">
      <w:pPr>
        <w:pStyle w:val="Titre1"/>
        <w:pBdr>
          <w:top w:val="single" w:sz="4" w:space="1" w:color="auto"/>
          <w:left w:val="single" w:sz="4" w:space="4" w:color="auto"/>
          <w:bottom w:val="single" w:sz="4" w:space="1" w:color="auto"/>
          <w:right w:val="single" w:sz="4" w:space="4" w:color="auto"/>
        </w:pBdr>
        <w:jc w:val="both"/>
        <w:rPr>
          <w:color w:val="943634" w:themeColor="accent2" w:themeShade="BF"/>
        </w:rPr>
      </w:pPr>
      <w:r w:rsidRPr="004768E4">
        <w:rPr>
          <w:color w:val="943634" w:themeColor="accent2" w:themeShade="BF"/>
        </w:rPr>
        <w:t>Présentation du travail noté 2</w:t>
      </w:r>
    </w:p>
    <w:p w:rsidR="00813C8A" w:rsidRDefault="00813C8A" w:rsidP="00542D9C">
      <w:pPr>
        <w:jc w:val="both"/>
      </w:pPr>
    </w:p>
    <w:p w:rsidR="00F72957" w:rsidRDefault="00312DC8" w:rsidP="003E77DC">
      <w:pPr>
        <w:ind w:left="360"/>
        <w:jc w:val="both"/>
      </w:pPr>
      <w:r>
        <w:t>D</w:t>
      </w:r>
      <w:r w:rsidR="00586142">
        <w:t>an</w:t>
      </w:r>
      <w:r w:rsidR="00B6275C">
        <w:t>s</w:t>
      </w:r>
      <w:r>
        <w:t xml:space="preserve"> votre premier travail vous avez formulé votre </w:t>
      </w:r>
      <w:r w:rsidR="00F72957">
        <w:t xml:space="preserve">« théorie personnelle » de </w:t>
      </w:r>
      <w:r>
        <w:t xml:space="preserve">l’apprentissage des adultes. </w:t>
      </w:r>
      <w:r w:rsidR="00586142">
        <w:t xml:space="preserve"> </w:t>
      </w:r>
      <w:r w:rsidR="00F72957">
        <w:t>Dans ce deuxième travail noté vous aurez l’occasion de :</w:t>
      </w:r>
    </w:p>
    <w:p w:rsidR="00F72957" w:rsidRDefault="00F72957" w:rsidP="003E77DC">
      <w:pPr>
        <w:pStyle w:val="Paragraphedeliste"/>
        <w:numPr>
          <w:ilvl w:val="0"/>
          <w:numId w:val="6"/>
        </w:numPr>
        <w:jc w:val="both"/>
      </w:pPr>
      <w:r>
        <w:t xml:space="preserve">Évaluer globalement votre  théorie personnelle  de l’apprentissage des adultes  </w:t>
      </w:r>
      <w:r w:rsidR="00586142">
        <w:t xml:space="preserve"> </w:t>
      </w:r>
      <w:r>
        <w:t>à la lumière de la théorie andragogique de Malcolm Knowles (volet A)</w:t>
      </w:r>
      <w:r w:rsidR="00AD075B">
        <w:t>;</w:t>
      </w:r>
    </w:p>
    <w:p w:rsidR="00F72957" w:rsidRDefault="00F72957" w:rsidP="003E77DC">
      <w:pPr>
        <w:pStyle w:val="Paragraphedeliste"/>
        <w:numPr>
          <w:ilvl w:val="0"/>
          <w:numId w:val="6"/>
        </w:numPr>
        <w:jc w:val="both"/>
      </w:pPr>
      <w:r>
        <w:t xml:space="preserve">Enrichir votre théorie personnelle </w:t>
      </w:r>
      <w:r w:rsidR="00AD075B">
        <w:t>en y intégrant des idées issues de l’ensemble des textes lus dans le module Fondements (volet B);</w:t>
      </w:r>
    </w:p>
    <w:p w:rsidR="00AD075B" w:rsidRDefault="00AD075B" w:rsidP="003E77DC">
      <w:pPr>
        <w:pStyle w:val="Paragraphedeliste"/>
        <w:numPr>
          <w:ilvl w:val="0"/>
          <w:numId w:val="6"/>
        </w:numPr>
        <w:jc w:val="both"/>
      </w:pPr>
      <w:r>
        <w:t>Questionner la relation entre votre théorie personnelle enrichie et votre pratique éducative auprès des adultes (volet C).</w:t>
      </w:r>
    </w:p>
    <w:p w:rsidR="00F72957" w:rsidRDefault="00AD075B" w:rsidP="003E77DC">
      <w:pPr>
        <w:jc w:val="both"/>
      </w:pPr>
      <w:r>
        <w:t xml:space="preserve">La réalisation de chaque volet constitue un préalable dans la réalisation du volet suivant. </w:t>
      </w:r>
    </w:p>
    <w:p w:rsidR="00A00675" w:rsidRPr="0083489A" w:rsidRDefault="00AD075B" w:rsidP="003E77DC">
      <w:pPr>
        <w:jc w:val="both"/>
      </w:pPr>
      <w:r>
        <w:t xml:space="preserve">Votre travail noté sera prêt pour </w:t>
      </w:r>
      <w:r w:rsidRPr="00AD075B">
        <w:rPr>
          <w:b/>
        </w:rPr>
        <w:t>l’évaluation sommative</w:t>
      </w:r>
      <w:r>
        <w:t xml:space="preserve"> lorsque vous </w:t>
      </w:r>
      <w:r w:rsidR="00A00675">
        <w:t xml:space="preserve">aurez complété les trois volets. L’évaluation sommative est basée sur l’addition des points attribués pour chaque volet. </w:t>
      </w:r>
    </w:p>
    <w:tbl>
      <w:tblPr>
        <w:tblStyle w:val="Grilledutableau"/>
        <w:tblW w:w="0" w:type="auto"/>
        <w:jc w:val="center"/>
        <w:tblLook w:val="04A0" w:firstRow="1" w:lastRow="0" w:firstColumn="1" w:lastColumn="0" w:noHBand="0" w:noVBand="1"/>
      </w:tblPr>
      <w:tblGrid>
        <w:gridCol w:w="2926"/>
        <w:gridCol w:w="2927"/>
      </w:tblGrid>
      <w:tr w:rsidR="00A00675" w:rsidTr="000C6FBB">
        <w:trPr>
          <w:jc w:val="center"/>
        </w:trPr>
        <w:tc>
          <w:tcPr>
            <w:tcW w:w="2926" w:type="dxa"/>
          </w:tcPr>
          <w:p w:rsidR="00A00675" w:rsidRDefault="00A00675" w:rsidP="000C6FBB">
            <w:pPr>
              <w:jc w:val="both"/>
              <w:rPr>
                <w:b/>
              </w:rPr>
            </w:pPr>
            <w:r>
              <w:rPr>
                <w:b/>
              </w:rPr>
              <w:t>Composante</w:t>
            </w:r>
          </w:p>
        </w:tc>
        <w:tc>
          <w:tcPr>
            <w:tcW w:w="2927" w:type="dxa"/>
          </w:tcPr>
          <w:p w:rsidR="00A00675" w:rsidRDefault="00A00675" w:rsidP="000C6FBB">
            <w:pPr>
              <w:jc w:val="both"/>
              <w:rPr>
                <w:b/>
              </w:rPr>
            </w:pPr>
            <w:r>
              <w:rPr>
                <w:b/>
              </w:rPr>
              <w:t>Points maximum</w:t>
            </w:r>
          </w:p>
        </w:tc>
      </w:tr>
      <w:tr w:rsidR="00A00675" w:rsidTr="000C6FBB">
        <w:trPr>
          <w:jc w:val="center"/>
        </w:trPr>
        <w:tc>
          <w:tcPr>
            <w:tcW w:w="2926" w:type="dxa"/>
          </w:tcPr>
          <w:p w:rsidR="00A00675" w:rsidRPr="0083489A" w:rsidRDefault="00A00675" w:rsidP="000C6FBB">
            <w:pPr>
              <w:jc w:val="both"/>
            </w:pPr>
            <w:r w:rsidRPr="0083489A">
              <w:t>Volet A</w:t>
            </w:r>
          </w:p>
        </w:tc>
        <w:tc>
          <w:tcPr>
            <w:tcW w:w="2927" w:type="dxa"/>
          </w:tcPr>
          <w:p w:rsidR="00A00675" w:rsidRPr="0083489A" w:rsidRDefault="00A00675" w:rsidP="000C6FBB">
            <w:pPr>
              <w:jc w:val="both"/>
            </w:pPr>
            <w:r w:rsidRPr="0083489A">
              <w:t xml:space="preserve">5 </w:t>
            </w:r>
          </w:p>
        </w:tc>
      </w:tr>
      <w:tr w:rsidR="00A00675" w:rsidTr="000C6FBB">
        <w:trPr>
          <w:jc w:val="center"/>
        </w:trPr>
        <w:tc>
          <w:tcPr>
            <w:tcW w:w="2926" w:type="dxa"/>
          </w:tcPr>
          <w:p w:rsidR="00A00675" w:rsidRPr="0083489A" w:rsidRDefault="00A00675" w:rsidP="000C6FBB">
            <w:pPr>
              <w:jc w:val="both"/>
            </w:pPr>
            <w:r w:rsidRPr="0083489A">
              <w:t>Volet B</w:t>
            </w:r>
          </w:p>
        </w:tc>
        <w:tc>
          <w:tcPr>
            <w:tcW w:w="2927" w:type="dxa"/>
          </w:tcPr>
          <w:p w:rsidR="00A00675" w:rsidRPr="0083489A" w:rsidRDefault="00A00675" w:rsidP="000C6FBB">
            <w:pPr>
              <w:jc w:val="both"/>
            </w:pPr>
            <w:r w:rsidRPr="0083489A">
              <w:t>17</w:t>
            </w:r>
          </w:p>
        </w:tc>
      </w:tr>
      <w:tr w:rsidR="00A00675" w:rsidTr="000C6FBB">
        <w:trPr>
          <w:jc w:val="center"/>
        </w:trPr>
        <w:tc>
          <w:tcPr>
            <w:tcW w:w="2926" w:type="dxa"/>
          </w:tcPr>
          <w:p w:rsidR="00A00675" w:rsidRPr="0083489A" w:rsidRDefault="00A00675" w:rsidP="000C6FBB">
            <w:pPr>
              <w:jc w:val="both"/>
            </w:pPr>
            <w:r w:rsidRPr="0083489A">
              <w:t>Volet C</w:t>
            </w:r>
          </w:p>
        </w:tc>
        <w:tc>
          <w:tcPr>
            <w:tcW w:w="2927" w:type="dxa"/>
          </w:tcPr>
          <w:p w:rsidR="00A00675" w:rsidRPr="0083489A" w:rsidRDefault="00A00675" w:rsidP="000C6FBB">
            <w:pPr>
              <w:jc w:val="both"/>
            </w:pPr>
            <w:r w:rsidRPr="0083489A">
              <w:t>3</w:t>
            </w:r>
          </w:p>
        </w:tc>
      </w:tr>
      <w:tr w:rsidR="00A00675" w:rsidTr="000C6FBB">
        <w:trPr>
          <w:jc w:val="center"/>
        </w:trPr>
        <w:tc>
          <w:tcPr>
            <w:tcW w:w="2926" w:type="dxa"/>
          </w:tcPr>
          <w:p w:rsidR="00A00675" w:rsidRPr="0083489A" w:rsidRDefault="00C2551E" w:rsidP="000C6FBB">
            <w:pPr>
              <w:jc w:val="both"/>
            </w:pPr>
            <w:r>
              <w:t>Étape 2 du j</w:t>
            </w:r>
            <w:r w:rsidR="00A00675" w:rsidRPr="0083489A">
              <w:t xml:space="preserve">ournal </w:t>
            </w:r>
            <w:r>
              <w:t>d’apprentissage</w:t>
            </w:r>
          </w:p>
        </w:tc>
        <w:tc>
          <w:tcPr>
            <w:tcW w:w="2927" w:type="dxa"/>
          </w:tcPr>
          <w:p w:rsidR="00A00675" w:rsidRPr="0083489A" w:rsidRDefault="00A00675" w:rsidP="000C6FBB">
            <w:pPr>
              <w:jc w:val="both"/>
            </w:pPr>
            <w:r w:rsidRPr="0083489A">
              <w:t>5</w:t>
            </w:r>
          </w:p>
        </w:tc>
      </w:tr>
      <w:tr w:rsidR="00A00675" w:rsidTr="000C6FBB">
        <w:trPr>
          <w:jc w:val="center"/>
        </w:trPr>
        <w:tc>
          <w:tcPr>
            <w:tcW w:w="2926" w:type="dxa"/>
          </w:tcPr>
          <w:p w:rsidR="00A00675" w:rsidRDefault="00A00675" w:rsidP="000C6FBB">
            <w:pPr>
              <w:jc w:val="both"/>
              <w:rPr>
                <w:b/>
              </w:rPr>
            </w:pPr>
            <w:r>
              <w:rPr>
                <w:b/>
              </w:rPr>
              <w:t xml:space="preserve">Travail noté 2 </w:t>
            </w:r>
          </w:p>
        </w:tc>
        <w:tc>
          <w:tcPr>
            <w:tcW w:w="2927" w:type="dxa"/>
          </w:tcPr>
          <w:p w:rsidR="00A00675" w:rsidRDefault="00A00675" w:rsidP="000C6FBB">
            <w:pPr>
              <w:jc w:val="both"/>
              <w:rPr>
                <w:b/>
              </w:rPr>
            </w:pPr>
            <w:r>
              <w:rPr>
                <w:b/>
              </w:rPr>
              <w:t>30 points</w:t>
            </w:r>
          </w:p>
        </w:tc>
      </w:tr>
    </w:tbl>
    <w:p w:rsidR="00A00675" w:rsidRDefault="00A00675" w:rsidP="00542D9C">
      <w:pPr>
        <w:jc w:val="both"/>
      </w:pPr>
    </w:p>
    <w:p w:rsidR="00AD075B" w:rsidRDefault="00AD075B" w:rsidP="00542D9C">
      <w:pPr>
        <w:jc w:val="both"/>
      </w:pPr>
      <w:r>
        <w:t xml:space="preserve">Vous pouvez cependant soumettre chaque volet de ce travail à une </w:t>
      </w:r>
      <w:r w:rsidRPr="00AD075B">
        <w:rPr>
          <w:b/>
        </w:rPr>
        <w:t>évaluation formative</w:t>
      </w:r>
      <w:r>
        <w:t xml:space="preserve"> à la personne tutrice. Cette évaluation pourra vous indiquer des pistes d’amélioration et de répondre à vos questions éventuelles dans un esprit de collaboration. </w:t>
      </w:r>
    </w:p>
    <w:p w:rsidR="00EB45E2" w:rsidRDefault="002C349D" w:rsidP="00542D9C">
      <w:pPr>
        <w:jc w:val="both"/>
      </w:pPr>
      <w:r>
        <w:t>La grille</w:t>
      </w:r>
      <w:r w:rsidR="00AD075B">
        <w:t xml:space="preserve"> d’</w:t>
      </w:r>
      <w:r>
        <w:t xml:space="preserve">évaluation </w:t>
      </w:r>
      <w:r w:rsidR="00A00675">
        <w:t>présentée</w:t>
      </w:r>
      <w:r>
        <w:t xml:space="preserve"> </w:t>
      </w:r>
      <w:r w:rsidR="00A00675">
        <w:t xml:space="preserve">ci-dessous </w:t>
      </w:r>
      <w:r>
        <w:t xml:space="preserve">vous aidera </w:t>
      </w:r>
      <w:r w:rsidR="00AD075B">
        <w:t>à orienter votre réflexion de façon à optimiser votre travail.</w:t>
      </w:r>
    </w:p>
    <w:p w:rsidR="00EB45E2" w:rsidRDefault="00EB45E2" w:rsidP="00542D9C">
      <w:pPr>
        <w:jc w:val="both"/>
      </w:pPr>
      <w:r w:rsidRPr="00EB45E2">
        <w:rPr>
          <w:b/>
        </w:rPr>
        <w:t xml:space="preserve">Indications relatives au nombre de pages </w:t>
      </w:r>
      <w:r>
        <w:t>pour chaque volet (interligne 1,5, police Times ou Arial, 12 points) :</w:t>
      </w:r>
    </w:p>
    <w:p w:rsidR="00A56FA3" w:rsidRDefault="00A56FA3" w:rsidP="00A56FA3">
      <w:pPr>
        <w:pStyle w:val="Paragraphedeliste"/>
        <w:numPr>
          <w:ilvl w:val="0"/>
          <w:numId w:val="15"/>
        </w:numPr>
        <w:jc w:val="both"/>
      </w:pPr>
      <w:r>
        <w:t>Volet A : 2-4 pages (conseillé);</w:t>
      </w:r>
    </w:p>
    <w:p w:rsidR="00A56FA3" w:rsidRDefault="00A56FA3" w:rsidP="00A56FA3">
      <w:pPr>
        <w:pStyle w:val="Paragraphedeliste"/>
        <w:numPr>
          <w:ilvl w:val="0"/>
          <w:numId w:val="15"/>
        </w:numPr>
        <w:jc w:val="both"/>
      </w:pPr>
      <w:r>
        <w:t>Volet B : 4-9 pages (conseillé);</w:t>
      </w:r>
    </w:p>
    <w:p w:rsidR="00A56FA3" w:rsidRDefault="00A56FA3" w:rsidP="00A56FA3">
      <w:pPr>
        <w:pStyle w:val="Paragraphedeliste"/>
        <w:numPr>
          <w:ilvl w:val="0"/>
          <w:numId w:val="15"/>
        </w:numPr>
        <w:jc w:val="both"/>
      </w:pPr>
      <w:r>
        <w:t>Volet C : 1 page (exigé).</w:t>
      </w:r>
    </w:p>
    <w:p w:rsidR="00EB45E2" w:rsidRDefault="00EB45E2" w:rsidP="00EB45E2">
      <w:pPr>
        <w:jc w:val="both"/>
      </w:pPr>
      <w:r>
        <w:lastRenderedPageBreak/>
        <w:t>En tout, votre deuxième travail noté ne devrait pas dépasser 14</w:t>
      </w:r>
      <w:r w:rsidR="00F83925">
        <w:t xml:space="preserve"> pages. Cependant, si votre travail </w:t>
      </w:r>
      <w:r w:rsidR="00F83925" w:rsidRPr="00F83925">
        <w:rPr>
          <w:b/>
        </w:rPr>
        <w:t>répond</w:t>
      </w:r>
      <w:r w:rsidR="00F83925">
        <w:rPr>
          <w:b/>
        </w:rPr>
        <w:t xml:space="preserve"> adéquatement</w:t>
      </w:r>
      <w:r w:rsidR="00F83925" w:rsidRPr="00F83925">
        <w:rPr>
          <w:b/>
        </w:rPr>
        <w:t xml:space="preserve"> aux critères de qualité</w:t>
      </w:r>
      <w:r w:rsidR="00F83925">
        <w:t xml:space="preserve"> indiqués ci-dessous, le dépassement du nombre de  pages ne sera pas pénalisé.</w:t>
      </w:r>
    </w:p>
    <w:p w:rsidR="00157A05" w:rsidRPr="00542D9C" w:rsidRDefault="00F86C02" w:rsidP="00542D9C">
      <w:pPr>
        <w:pStyle w:val="Titre1"/>
        <w:pBdr>
          <w:top w:val="single" w:sz="4" w:space="1" w:color="auto"/>
          <w:left w:val="single" w:sz="4" w:space="4" w:color="auto"/>
          <w:bottom w:val="single" w:sz="4" w:space="1" w:color="auto"/>
          <w:right w:val="single" w:sz="4" w:space="4" w:color="auto"/>
        </w:pBdr>
        <w:jc w:val="both"/>
        <w:rPr>
          <w:color w:val="943634" w:themeColor="accent2" w:themeShade="BF"/>
        </w:rPr>
      </w:pPr>
      <w:r w:rsidRPr="00542D9C">
        <w:rPr>
          <w:color w:val="943634" w:themeColor="accent2" w:themeShade="BF"/>
        </w:rPr>
        <w:t>Volet B</w:t>
      </w:r>
      <w:r w:rsidR="00835240">
        <w:rPr>
          <w:color w:val="943634" w:themeColor="accent2" w:themeShade="BF"/>
        </w:rPr>
        <w:t xml:space="preserve"> - Enrichir</w:t>
      </w:r>
    </w:p>
    <w:p w:rsidR="00157CA5" w:rsidRDefault="00157CA5" w:rsidP="00542D9C">
      <w:pPr>
        <w:jc w:val="both"/>
      </w:pPr>
    </w:p>
    <w:p w:rsidR="00BE02A4" w:rsidRDefault="00157CA5" w:rsidP="003E77DC">
      <w:pPr>
        <w:jc w:val="both"/>
      </w:pPr>
      <w:r>
        <w:t>Comment les idées puisées dans les</w:t>
      </w:r>
      <w:r w:rsidR="00830C36">
        <w:t xml:space="preserve">  lectures réalisées </w:t>
      </w:r>
      <w:r w:rsidR="00A00675">
        <w:t xml:space="preserve">aux étapes </w:t>
      </w:r>
      <w:r w:rsidR="00A00675" w:rsidRPr="00A00675">
        <w:rPr>
          <w:i/>
        </w:rPr>
        <w:t>Évaluer</w:t>
      </w:r>
      <w:r w:rsidR="00A00675">
        <w:t xml:space="preserve"> et</w:t>
      </w:r>
      <w:r w:rsidR="00830C36">
        <w:t xml:space="preserve"> </w:t>
      </w:r>
      <w:r w:rsidRPr="00157CA5">
        <w:rPr>
          <w:i/>
        </w:rPr>
        <w:t>Enrichir</w:t>
      </w:r>
      <w:r w:rsidR="000C7A5D">
        <w:t> du module Fondement ont</w:t>
      </w:r>
      <w:r>
        <w:t xml:space="preserve"> </w:t>
      </w:r>
      <w:r w:rsidR="00157A05" w:rsidRPr="00157CA5">
        <w:t xml:space="preserve">contribué à </w:t>
      </w:r>
      <w:r w:rsidRPr="00157CA5">
        <w:t>transformer</w:t>
      </w:r>
      <w:r w:rsidR="00BE02A4">
        <w:t xml:space="preserve"> </w:t>
      </w:r>
      <w:r w:rsidRPr="00157CA5">
        <w:t>ou à remettre en question</w:t>
      </w:r>
      <w:r w:rsidR="00157A05" w:rsidRPr="00157CA5">
        <w:t xml:space="preserve"> votre </w:t>
      </w:r>
      <w:r w:rsidR="00BE02A4">
        <w:t>théorie personnelle</w:t>
      </w:r>
      <w:r w:rsidR="00157A05" w:rsidRPr="00157CA5">
        <w:t xml:space="preserve"> de l’apprentissage des adultes</w:t>
      </w:r>
      <w:r w:rsidR="00E16118">
        <w:t xml:space="preserve"> ?</w:t>
      </w:r>
    </w:p>
    <w:p w:rsidR="00A32466" w:rsidRDefault="00BE02A4" w:rsidP="003E77DC">
      <w:pPr>
        <w:jc w:val="both"/>
      </w:pPr>
      <w:r>
        <w:t>Dans ce volet, vous êtes invité</w:t>
      </w:r>
      <w:r w:rsidR="00E16118">
        <w:t>(e)</w:t>
      </w:r>
      <w:r>
        <w:t xml:space="preserve"> à présenter votre conception de l’apprentissage des adultes enrichie par l’ensemble de vos lectures.  </w:t>
      </w:r>
      <w:r w:rsidR="00E16118">
        <w:t xml:space="preserve">Votre présentation doit relier vos idées personnelles aux idées des auteurs lus. </w:t>
      </w:r>
    </w:p>
    <w:p w:rsidR="0002774A" w:rsidRDefault="00830C36" w:rsidP="003E77DC">
      <w:pPr>
        <w:jc w:val="both"/>
      </w:pPr>
      <w:r>
        <w:t xml:space="preserve">Portez attention </w:t>
      </w:r>
      <w:r w:rsidR="000C7A5D">
        <w:t>aux aspects suivants</w:t>
      </w:r>
      <w:r w:rsidR="0002774A">
        <w:t> :</w:t>
      </w:r>
    </w:p>
    <w:p w:rsidR="000A3554" w:rsidRDefault="00414F7E" w:rsidP="003E77DC">
      <w:pPr>
        <w:pStyle w:val="Paragraphedeliste"/>
        <w:numPr>
          <w:ilvl w:val="0"/>
          <w:numId w:val="14"/>
        </w:numPr>
        <w:jc w:val="both"/>
      </w:pPr>
      <w:r>
        <w:t>l</w:t>
      </w:r>
      <w:r w:rsidR="0002774A">
        <w:t>es dimensions</w:t>
      </w:r>
      <w:r w:rsidR="000C7A5D">
        <w:t xml:space="preserve"> conceptuelles</w:t>
      </w:r>
      <w:r w:rsidR="0002774A">
        <w:t xml:space="preserve"> qui ont été clarifiées, enrichies ou modifiées;</w:t>
      </w:r>
    </w:p>
    <w:p w:rsidR="000C7A5D" w:rsidRDefault="0002774A" w:rsidP="003E77DC">
      <w:pPr>
        <w:pStyle w:val="Paragraphedeliste"/>
        <w:numPr>
          <w:ilvl w:val="0"/>
          <w:numId w:val="14"/>
        </w:numPr>
        <w:jc w:val="both"/>
      </w:pPr>
      <w:r>
        <w:t xml:space="preserve">les dimensions </w:t>
      </w:r>
      <w:r w:rsidR="000C7A5D">
        <w:t>conceptuelles qui sont restées inchangées ;</w:t>
      </w:r>
    </w:p>
    <w:p w:rsidR="0002774A" w:rsidRDefault="000C7A5D" w:rsidP="003E77DC">
      <w:pPr>
        <w:pStyle w:val="Paragraphedeliste"/>
        <w:numPr>
          <w:ilvl w:val="0"/>
          <w:numId w:val="14"/>
        </w:numPr>
        <w:jc w:val="both"/>
      </w:pPr>
      <w:r>
        <w:t xml:space="preserve">les dimensions conceptuelles </w:t>
      </w:r>
      <w:r w:rsidR="0002774A">
        <w:t xml:space="preserve">au sujet </w:t>
      </w:r>
      <w:r>
        <w:t>desquelles vous avez maintenant davantage de doutes (votre degré de conviction a changé).</w:t>
      </w:r>
    </w:p>
    <w:p w:rsidR="00EB45E2" w:rsidRDefault="000C7A5D" w:rsidP="003E77DC">
      <w:pPr>
        <w:jc w:val="both"/>
      </w:pPr>
      <w:r>
        <w:t xml:space="preserve">L’activité cognitive </w:t>
      </w:r>
      <w:r w:rsidR="0002774A">
        <w:t xml:space="preserve">nécessaire pour produire ce texte </w:t>
      </w:r>
      <w:r w:rsidR="00BE02A4">
        <w:t>est du type « </w:t>
      </w:r>
      <w:r w:rsidR="0002774A">
        <w:t xml:space="preserve">réflexion </w:t>
      </w:r>
      <w:r w:rsidR="00BE02A4">
        <w:t xml:space="preserve">critique », ce qui </w:t>
      </w:r>
      <w:r>
        <w:t xml:space="preserve">veut dire que vous pouvez </w:t>
      </w:r>
      <w:r w:rsidR="00830C36">
        <w:t xml:space="preserve">être en accord </w:t>
      </w:r>
      <w:r w:rsidR="00BE02A4">
        <w:t xml:space="preserve">avec les points de vue exprimés par les auteurs lus, les critiquer, les remettre en doute à la lumière de votre </w:t>
      </w:r>
      <w:r w:rsidR="0002774A">
        <w:t>théorie personnelle</w:t>
      </w:r>
      <w:r w:rsidR="00BE02A4">
        <w:t>, etc.</w:t>
      </w:r>
      <w:r w:rsidR="00E16118">
        <w:t xml:space="preserve"> Ainsi, le résultat de votre réflexion – votre conception révisée</w:t>
      </w:r>
      <w:r w:rsidR="00830C36">
        <w:t xml:space="preserve"> -</w:t>
      </w:r>
      <w:r w:rsidR="00E16118">
        <w:t xml:space="preserve">  peut se révéler finalement  très proche de votre conception initiale, s’en éloigner ou même se trouver entièrement transformée… Quel que soit le cas, ce travail devrait constituer pour vous une occasion de travailler en profondeur vos idées en les confrontant à celles des auteurs lus.</w:t>
      </w:r>
      <w:r w:rsidR="002A1560">
        <w:t xml:space="preserve"> </w:t>
      </w:r>
    </w:p>
    <w:p w:rsidR="00AC0905" w:rsidRDefault="00AC0905" w:rsidP="00157CA5">
      <w:pPr>
        <w:jc w:val="both"/>
      </w:pPr>
    </w:p>
    <w:p w:rsidR="00BA54E6" w:rsidRDefault="00BA54E6" w:rsidP="00157CA5">
      <w:pPr>
        <w:jc w:val="both"/>
      </w:pPr>
    </w:p>
    <w:p w:rsidR="00BA54E6" w:rsidRDefault="00BA54E6" w:rsidP="00157CA5">
      <w:pPr>
        <w:jc w:val="both"/>
      </w:pPr>
    </w:p>
    <w:p w:rsidR="00BA54E6" w:rsidRDefault="00BA54E6" w:rsidP="00157CA5">
      <w:pPr>
        <w:jc w:val="both"/>
      </w:pPr>
    </w:p>
    <w:p w:rsidR="00BA54E6" w:rsidRDefault="00BA54E6" w:rsidP="00157CA5">
      <w:pPr>
        <w:jc w:val="both"/>
      </w:pPr>
    </w:p>
    <w:p w:rsidR="00BA54E6" w:rsidRDefault="00BA54E6" w:rsidP="00157CA5">
      <w:pPr>
        <w:jc w:val="both"/>
      </w:pPr>
    </w:p>
    <w:p w:rsidR="00BA54E6" w:rsidRDefault="00BA54E6" w:rsidP="00157CA5">
      <w:pPr>
        <w:jc w:val="both"/>
      </w:pPr>
    </w:p>
    <w:p w:rsidR="00AC0905" w:rsidRPr="00BA54E6" w:rsidRDefault="004A7274" w:rsidP="00BA54E6">
      <w:pPr>
        <w:pStyle w:val="Titre1"/>
        <w:jc w:val="both"/>
        <w:rPr>
          <w:color w:val="943634" w:themeColor="accent2" w:themeShade="BF"/>
        </w:rPr>
      </w:pPr>
      <w:r w:rsidRPr="004A7274">
        <w:rPr>
          <w:color w:val="943634" w:themeColor="accent2" w:themeShade="BF"/>
        </w:rPr>
        <w:lastRenderedPageBreak/>
        <w:t>Critères d’évaluation</w:t>
      </w:r>
    </w:p>
    <w:p w:rsidR="00AC0905" w:rsidRDefault="00AC0905" w:rsidP="00157CA5">
      <w:pPr>
        <w:jc w:val="both"/>
      </w:pPr>
    </w:p>
    <w:tbl>
      <w:tblPr>
        <w:tblStyle w:val="Grilledutableau"/>
        <w:tblW w:w="0" w:type="auto"/>
        <w:tblLook w:val="04A0" w:firstRow="1" w:lastRow="0" w:firstColumn="1" w:lastColumn="0" w:noHBand="0" w:noVBand="1"/>
      </w:tblPr>
      <w:tblGrid>
        <w:gridCol w:w="1898"/>
        <w:gridCol w:w="1427"/>
        <w:gridCol w:w="1445"/>
        <w:gridCol w:w="1403"/>
        <w:gridCol w:w="1412"/>
        <w:gridCol w:w="1045"/>
      </w:tblGrid>
      <w:tr w:rsidR="00A64253" w:rsidRPr="00A12FC3" w:rsidTr="000C6FBB">
        <w:tc>
          <w:tcPr>
            <w:tcW w:w="1921" w:type="dxa"/>
          </w:tcPr>
          <w:p w:rsidR="00A64253" w:rsidRPr="00A64253" w:rsidRDefault="00A64253" w:rsidP="000C6FBB">
            <w:pPr>
              <w:rPr>
                <w:b/>
              </w:rPr>
            </w:pPr>
            <w:r w:rsidRPr="00A64253">
              <w:rPr>
                <w:b/>
              </w:rPr>
              <w:t>Critère</w:t>
            </w:r>
            <w:r w:rsidR="00813E5D">
              <w:rPr>
                <w:b/>
              </w:rPr>
              <w:t xml:space="preserve"> d’évaluation</w:t>
            </w:r>
          </w:p>
        </w:tc>
        <w:tc>
          <w:tcPr>
            <w:tcW w:w="6935" w:type="dxa"/>
            <w:gridSpan w:val="5"/>
          </w:tcPr>
          <w:p w:rsidR="00A64253" w:rsidRPr="00A12FC3" w:rsidRDefault="00A64253" w:rsidP="000C6FBB">
            <w:pPr>
              <w:rPr>
                <w:b/>
              </w:rPr>
            </w:pPr>
            <w:r w:rsidRPr="00A12FC3">
              <w:rPr>
                <w:b/>
              </w:rPr>
              <w:t>Descripteur</w:t>
            </w:r>
            <w:r>
              <w:rPr>
                <w:b/>
              </w:rPr>
              <w:t>s</w:t>
            </w:r>
          </w:p>
        </w:tc>
      </w:tr>
      <w:tr w:rsidR="00A64253" w:rsidRPr="00A12FC3" w:rsidTr="000C6FBB">
        <w:tc>
          <w:tcPr>
            <w:tcW w:w="1921" w:type="dxa"/>
            <w:vMerge w:val="restart"/>
          </w:tcPr>
          <w:p w:rsidR="00A64253" w:rsidRDefault="00813C8A" w:rsidP="000C6FBB">
            <w:r>
              <w:t xml:space="preserve">Synthèse de </w:t>
            </w:r>
            <w:r w:rsidR="00A64253">
              <w:t xml:space="preserve"> votre théorie personnelle de l’apprentissage</w:t>
            </w:r>
            <w:r>
              <w:t xml:space="preserve"> revue et enrichie</w:t>
            </w:r>
          </w:p>
        </w:tc>
        <w:tc>
          <w:tcPr>
            <w:tcW w:w="1459" w:type="dxa"/>
          </w:tcPr>
          <w:p w:rsidR="00A64253" w:rsidRDefault="00695B17" w:rsidP="00695B17">
            <w:r>
              <w:t>Pertinente</w:t>
            </w:r>
          </w:p>
        </w:tc>
        <w:tc>
          <w:tcPr>
            <w:tcW w:w="1479" w:type="dxa"/>
          </w:tcPr>
          <w:p w:rsidR="00A64253" w:rsidRDefault="00695B17" w:rsidP="00695B17">
            <w:r>
              <w:t>Cohérente</w:t>
            </w:r>
          </w:p>
        </w:tc>
        <w:tc>
          <w:tcPr>
            <w:tcW w:w="1479" w:type="dxa"/>
          </w:tcPr>
          <w:p w:rsidR="00A64253" w:rsidRDefault="00695B17" w:rsidP="000C6FBB">
            <w:r>
              <w:t>Claire</w:t>
            </w:r>
          </w:p>
        </w:tc>
        <w:tc>
          <w:tcPr>
            <w:tcW w:w="1473" w:type="dxa"/>
          </w:tcPr>
          <w:p w:rsidR="00A64253" w:rsidRDefault="00695B17" w:rsidP="000C6FBB">
            <w:r>
              <w:t>Concise</w:t>
            </w:r>
          </w:p>
        </w:tc>
        <w:tc>
          <w:tcPr>
            <w:tcW w:w="1045" w:type="dxa"/>
            <w:shd w:val="clear" w:color="auto" w:fill="D9D9D9" w:themeFill="background1" w:themeFillShade="D9"/>
          </w:tcPr>
          <w:p w:rsidR="00A64253" w:rsidRPr="00A12FC3" w:rsidRDefault="00A64253" w:rsidP="000C6FBB">
            <w:pPr>
              <w:rPr>
                <w:b/>
              </w:rPr>
            </w:pPr>
            <w:r w:rsidRPr="00A12FC3">
              <w:rPr>
                <w:b/>
              </w:rPr>
              <w:t>Points attribués</w:t>
            </w:r>
            <w:r w:rsidR="00695B17">
              <w:rPr>
                <w:b/>
              </w:rPr>
              <w:t xml:space="preserve"> (max. 15)</w:t>
            </w:r>
          </w:p>
        </w:tc>
      </w:tr>
      <w:tr w:rsidR="00A64253" w:rsidRPr="00A12FC3" w:rsidTr="000C6FBB">
        <w:tc>
          <w:tcPr>
            <w:tcW w:w="1921" w:type="dxa"/>
            <w:vMerge/>
          </w:tcPr>
          <w:p w:rsidR="00A64253" w:rsidRDefault="00A64253" w:rsidP="000C6FBB">
            <w:pPr>
              <w:jc w:val="both"/>
            </w:pPr>
          </w:p>
        </w:tc>
        <w:tc>
          <w:tcPr>
            <w:tcW w:w="1459" w:type="dxa"/>
          </w:tcPr>
          <w:p w:rsidR="00A64253" w:rsidRDefault="00695B17" w:rsidP="000C6FBB">
            <w:pPr>
              <w:jc w:val="both"/>
            </w:pPr>
            <w:r>
              <w:t xml:space="preserve"> 6 points</w:t>
            </w:r>
          </w:p>
        </w:tc>
        <w:tc>
          <w:tcPr>
            <w:tcW w:w="1479" w:type="dxa"/>
          </w:tcPr>
          <w:p w:rsidR="00A64253" w:rsidRDefault="00695B17" w:rsidP="000C6FBB">
            <w:pPr>
              <w:jc w:val="both"/>
            </w:pPr>
            <w:r>
              <w:t>4 points</w:t>
            </w:r>
          </w:p>
        </w:tc>
        <w:tc>
          <w:tcPr>
            <w:tcW w:w="1479" w:type="dxa"/>
          </w:tcPr>
          <w:p w:rsidR="00A64253" w:rsidRDefault="00695B17" w:rsidP="000C6FBB">
            <w:pPr>
              <w:jc w:val="both"/>
            </w:pPr>
            <w:r>
              <w:t>3 points</w:t>
            </w:r>
          </w:p>
        </w:tc>
        <w:tc>
          <w:tcPr>
            <w:tcW w:w="1473" w:type="dxa"/>
          </w:tcPr>
          <w:p w:rsidR="00A64253" w:rsidRDefault="00695B17" w:rsidP="000C6FBB">
            <w:pPr>
              <w:jc w:val="both"/>
            </w:pPr>
            <w:r>
              <w:t>2 points</w:t>
            </w:r>
          </w:p>
        </w:tc>
        <w:tc>
          <w:tcPr>
            <w:tcW w:w="1045" w:type="dxa"/>
            <w:shd w:val="clear" w:color="auto" w:fill="D9D9D9" w:themeFill="background1" w:themeFillShade="D9"/>
          </w:tcPr>
          <w:p w:rsidR="00A64253" w:rsidRPr="00A12FC3" w:rsidRDefault="00A64253" w:rsidP="000C6FBB">
            <w:pPr>
              <w:jc w:val="both"/>
              <w:rPr>
                <w:b/>
              </w:rPr>
            </w:pPr>
          </w:p>
        </w:tc>
      </w:tr>
      <w:tr w:rsidR="0002774A" w:rsidRPr="00A12FC3" w:rsidTr="0002774A">
        <w:tc>
          <w:tcPr>
            <w:tcW w:w="1921" w:type="dxa"/>
            <w:vMerge w:val="restart"/>
          </w:tcPr>
          <w:p w:rsidR="0002774A" w:rsidRDefault="0002774A" w:rsidP="000C6FBB">
            <w:r>
              <w:t>Toutes les références bibliographiques sont citées selon le modèle de citation utilisé dans le site du cours</w:t>
            </w:r>
          </w:p>
        </w:tc>
        <w:tc>
          <w:tcPr>
            <w:tcW w:w="1459" w:type="dxa"/>
          </w:tcPr>
          <w:p w:rsidR="0002774A" w:rsidRDefault="0002774A" w:rsidP="000C6FBB">
            <w:pPr>
              <w:jc w:val="both"/>
            </w:pPr>
            <w:r>
              <w:t xml:space="preserve">Oui </w:t>
            </w:r>
          </w:p>
        </w:tc>
        <w:tc>
          <w:tcPr>
            <w:tcW w:w="1479" w:type="dxa"/>
          </w:tcPr>
          <w:p w:rsidR="0002774A" w:rsidRDefault="0002774A" w:rsidP="000C6FBB">
            <w:pPr>
              <w:jc w:val="both"/>
            </w:pPr>
            <w:r>
              <w:t>non</w:t>
            </w:r>
          </w:p>
        </w:tc>
        <w:tc>
          <w:tcPr>
            <w:tcW w:w="2952" w:type="dxa"/>
            <w:gridSpan w:val="2"/>
            <w:vMerge w:val="restart"/>
          </w:tcPr>
          <w:p w:rsidR="0002774A" w:rsidRDefault="0002774A" w:rsidP="000C6FBB">
            <w:pPr>
              <w:jc w:val="both"/>
            </w:pPr>
          </w:p>
        </w:tc>
        <w:tc>
          <w:tcPr>
            <w:tcW w:w="1045" w:type="dxa"/>
            <w:tcBorders>
              <w:bottom w:val="single" w:sz="4" w:space="0" w:color="auto"/>
            </w:tcBorders>
          </w:tcPr>
          <w:p w:rsidR="0002774A" w:rsidRPr="00A12FC3" w:rsidRDefault="0002774A" w:rsidP="000C6FBB">
            <w:pPr>
              <w:jc w:val="both"/>
              <w:rPr>
                <w:b/>
              </w:rPr>
            </w:pPr>
          </w:p>
        </w:tc>
      </w:tr>
      <w:tr w:rsidR="0002774A" w:rsidRPr="00A12FC3" w:rsidTr="0002774A">
        <w:tc>
          <w:tcPr>
            <w:tcW w:w="1921" w:type="dxa"/>
            <w:vMerge/>
          </w:tcPr>
          <w:p w:rsidR="0002774A" w:rsidRDefault="0002774A" w:rsidP="000C6FBB"/>
        </w:tc>
        <w:tc>
          <w:tcPr>
            <w:tcW w:w="1459" w:type="dxa"/>
          </w:tcPr>
          <w:p w:rsidR="0002774A" w:rsidRDefault="0002774A" w:rsidP="000C6FBB">
            <w:pPr>
              <w:jc w:val="both"/>
            </w:pPr>
            <w:r>
              <w:t>1 point</w:t>
            </w:r>
          </w:p>
        </w:tc>
        <w:tc>
          <w:tcPr>
            <w:tcW w:w="1479" w:type="dxa"/>
          </w:tcPr>
          <w:p w:rsidR="0002774A" w:rsidRDefault="0002774A" w:rsidP="000C6FBB">
            <w:pPr>
              <w:jc w:val="both"/>
            </w:pPr>
            <w:r>
              <w:t>0 point</w:t>
            </w:r>
          </w:p>
        </w:tc>
        <w:tc>
          <w:tcPr>
            <w:tcW w:w="2952" w:type="dxa"/>
            <w:gridSpan w:val="2"/>
            <w:vMerge/>
          </w:tcPr>
          <w:p w:rsidR="0002774A" w:rsidRDefault="0002774A" w:rsidP="000C6FBB">
            <w:pPr>
              <w:jc w:val="both"/>
            </w:pPr>
          </w:p>
        </w:tc>
        <w:tc>
          <w:tcPr>
            <w:tcW w:w="1045" w:type="dxa"/>
            <w:shd w:val="clear" w:color="auto" w:fill="D9D9D9" w:themeFill="background1" w:themeFillShade="D9"/>
          </w:tcPr>
          <w:p w:rsidR="0002774A" w:rsidRPr="00A12FC3" w:rsidRDefault="0002774A" w:rsidP="000C6FBB">
            <w:pPr>
              <w:jc w:val="both"/>
              <w:rPr>
                <w:b/>
              </w:rPr>
            </w:pPr>
          </w:p>
        </w:tc>
      </w:tr>
      <w:tr w:rsidR="00A64253" w:rsidRPr="00A12FC3" w:rsidTr="000C6FBB">
        <w:tc>
          <w:tcPr>
            <w:tcW w:w="1921" w:type="dxa"/>
            <w:vMerge w:val="restart"/>
          </w:tcPr>
          <w:p w:rsidR="00A64253" w:rsidRDefault="00A64253" w:rsidP="00312D38">
            <w:r>
              <w:t xml:space="preserve">Qualité de la langue : Le texte présente </w:t>
            </w:r>
            <w:r w:rsidR="00312D38">
              <w:t>en moyenne moins</w:t>
            </w:r>
            <w:r>
              <w:t xml:space="preserve"> de  3 erreurs d’orthographe ou de grammaire par page </w:t>
            </w:r>
          </w:p>
        </w:tc>
        <w:tc>
          <w:tcPr>
            <w:tcW w:w="1459" w:type="dxa"/>
          </w:tcPr>
          <w:p w:rsidR="00A64253" w:rsidRDefault="00A64253" w:rsidP="000C6FBB">
            <w:pPr>
              <w:jc w:val="both"/>
            </w:pPr>
            <w:r>
              <w:t>Oui</w:t>
            </w:r>
          </w:p>
        </w:tc>
        <w:tc>
          <w:tcPr>
            <w:tcW w:w="1479" w:type="dxa"/>
          </w:tcPr>
          <w:p w:rsidR="00A64253" w:rsidRDefault="00A64253" w:rsidP="000C6FBB">
            <w:pPr>
              <w:jc w:val="both"/>
            </w:pPr>
            <w:r>
              <w:t>Non</w:t>
            </w:r>
          </w:p>
        </w:tc>
        <w:tc>
          <w:tcPr>
            <w:tcW w:w="2952" w:type="dxa"/>
            <w:gridSpan w:val="2"/>
            <w:vMerge w:val="restart"/>
          </w:tcPr>
          <w:p w:rsidR="00A64253" w:rsidRDefault="00A64253" w:rsidP="000C6FBB">
            <w:pPr>
              <w:jc w:val="both"/>
            </w:pPr>
          </w:p>
        </w:tc>
        <w:tc>
          <w:tcPr>
            <w:tcW w:w="1045" w:type="dxa"/>
          </w:tcPr>
          <w:p w:rsidR="00A64253" w:rsidRPr="00A12FC3" w:rsidRDefault="00A64253" w:rsidP="000C6FBB">
            <w:pPr>
              <w:jc w:val="both"/>
              <w:rPr>
                <w:b/>
              </w:rPr>
            </w:pPr>
          </w:p>
        </w:tc>
      </w:tr>
      <w:tr w:rsidR="00A64253" w:rsidRPr="00A12FC3" w:rsidTr="000C6FBB">
        <w:tc>
          <w:tcPr>
            <w:tcW w:w="1921" w:type="dxa"/>
            <w:vMerge/>
          </w:tcPr>
          <w:p w:rsidR="00A64253" w:rsidRDefault="00A64253" w:rsidP="000C6FBB">
            <w:pPr>
              <w:jc w:val="both"/>
            </w:pPr>
          </w:p>
        </w:tc>
        <w:tc>
          <w:tcPr>
            <w:tcW w:w="1459" w:type="dxa"/>
          </w:tcPr>
          <w:p w:rsidR="00A64253" w:rsidRDefault="00312D38" w:rsidP="000C6FBB">
            <w:pPr>
              <w:jc w:val="both"/>
            </w:pPr>
            <w:r>
              <w:t>1</w:t>
            </w:r>
            <w:r w:rsidR="00A64253">
              <w:t xml:space="preserve"> point</w:t>
            </w:r>
          </w:p>
        </w:tc>
        <w:tc>
          <w:tcPr>
            <w:tcW w:w="1479" w:type="dxa"/>
          </w:tcPr>
          <w:p w:rsidR="00A64253" w:rsidRDefault="00312D38" w:rsidP="000C6FBB">
            <w:pPr>
              <w:jc w:val="both"/>
            </w:pPr>
            <w:r>
              <w:t>0</w:t>
            </w:r>
            <w:r w:rsidR="00A64253">
              <w:t xml:space="preserve"> point</w:t>
            </w:r>
          </w:p>
        </w:tc>
        <w:tc>
          <w:tcPr>
            <w:tcW w:w="2952" w:type="dxa"/>
            <w:gridSpan w:val="2"/>
            <w:vMerge/>
          </w:tcPr>
          <w:p w:rsidR="00A64253" w:rsidRDefault="00A64253" w:rsidP="000C6FBB">
            <w:pPr>
              <w:jc w:val="both"/>
            </w:pPr>
          </w:p>
        </w:tc>
        <w:tc>
          <w:tcPr>
            <w:tcW w:w="1045" w:type="dxa"/>
            <w:shd w:val="clear" w:color="auto" w:fill="D9D9D9" w:themeFill="background1" w:themeFillShade="D9"/>
          </w:tcPr>
          <w:p w:rsidR="00A64253" w:rsidRPr="00A12FC3" w:rsidRDefault="00A64253" w:rsidP="000C6FBB">
            <w:pPr>
              <w:jc w:val="both"/>
              <w:rPr>
                <w:b/>
              </w:rPr>
            </w:pPr>
          </w:p>
        </w:tc>
      </w:tr>
      <w:tr w:rsidR="00A64253" w:rsidRPr="00A12FC3" w:rsidTr="000C6FBB">
        <w:trPr>
          <w:trHeight w:val="303"/>
        </w:trPr>
        <w:tc>
          <w:tcPr>
            <w:tcW w:w="1921" w:type="dxa"/>
            <w:shd w:val="clear" w:color="auto" w:fill="D9D9D9" w:themeFill="background1" w:themeFillShade="D9"/>
          </w:tcPr>
          <w:p w:rsidR="00A64253" w:rsidRPr="00A12FC3" w:rsidRDefault="00A64253" w:rsidP="000C6FBB">
            <w:pPr>
              <w:jc w:val="both"/>
              <w:rPr>
                <w:b/>
              </w:rPr>
            </w:pPr>
            <w:r w:rsidRPr="00A12FC3">
              <w:rPr>
                <w:b/>
              </w:rPr>
              <w:t xml:space="preserve">Évaluation globale </w:t>
            </w:r>
          </w:p>
        </w:tc>
        <w:tc>
          <w:tcPr>
            <w:tcW w:w="5890" w:type="dxa"/>
            <w:gridSpan w:val="4"/>
            <w:shd w:val="clear" w:color="auto" w:fill="D9D9D9" w:themeFill="background1" w:themeFillShade="D9"/>
          </w:tcPr>
          <w:p w:rsidR="00A64253" w:rsidRPr="00A12FC3" w:rsidRDefault="00813C8A" w:rsidP="000C6FBB">
            <w:pPr>
              <w:jc w:val="both"/>
              <w:rPr>
                <w:b/>
              </w:rPr>
            </w:pPr>
            <w:r>
              <w:rPr>
                <w:b/>
              </w:rPr>
              <w:t>(maximum : 17</w:t>
            </w:r>
            <w:r w:rsidR="00A64253">
              <w:rPr>
                <w:b/>
              </w:rPr>
              <w:t xml:space="preserve"> points)</w:t>
            </w:r>
          </w:p>
        </w:tc>
        <w:tc>
          <w:tcPr>
            <w:tcW w:w="1045" w:type="dxa"/>
            <w:shd w:val="clear" w:color="auto" w:fill="D9D9D9" w:themeFill="background1" w:themeFillShade="D9"/>
          </w:tcPr>
          <w:p w:rsidR="00A64253" w:rsidRPr="00A12FC3" w:rsidRDefault="00A64253" w:rsidP="000C6FBB">
            <w:pPr>
              <w:jc w:val="both"/>
              <w:rPr>
                <w:b/>
              </w:rPr>
            </w:pPr>
          </w:p>
        </w:tc>
      </w:tr>
    </w:tbl>
    <w:p w:rsidR="00A64253" w:rsidRDefault="00A64253" w:rsidP="00AC0905">
      <w:pPr>
        <w:pStyle w:val="Titre1"/>
        <w:jc w:val="both"/>
        <w:rPr>
          <w:color w:val="943634" w:themeColor="accent2" w:themeShade="BF"/>
        </w:rPr>
      </w:pPr>
      <w:r>
        <w:rPr>
          <w:color w:val="943634" w:themeColor="accent2" w:themeShade="BF"/>
        </w:rPr>
        <w:t>Explication des descripteurs</w:t>
      </w:r>
    </w:p>
    <w:p w:rsidR="00A64253" w:rsidRDefault="00A64253" w:rsidP="003E77DC">
      <w:pPr>
        <w:spacing w:before="240"/>
        <w:jc w:val="both"/>
      </w:pPr>
      <w:r>
        <w:t xml:space="preserve">La présentation de votre théorie personnelle de l’apprentissage est évaluée en considérant de façon holistique l’ensemble des descripteurs de la qualité du contenu et de la forme de votre texte. </w:t>
      </w:r>
    </w:p>
    <w:p w:rsidR="0060144B" w:rsidRDefault="00A64253" w:rsidP="003E77DC">
      <w:pPr>
        <w:jc w:val="both"/>
      </w:pPr>
      <w:r w:rsidRPr="00C203F0">
        <w:rPr>
          <w:b/>
        </w:rPr>
        <w:t>Pertinence</w:t>
      </w:r>
      <w:r>
        <w:t xml:space="preserve"> : la </w:t>
      </w:r>
      <w:r w:rsidR="0002774A">
        <w:t>présentation de votre théorie révisée intègre vos idées personnelles exprimées dan</w:t>
      </w:r>
      <w:r w:rsidR="00695B17">
        <w:t>s votre « théorie personnelle »</w:t>
      </w:r>
      <w:r w:rsidR="0002774A">
        <w:t xml:space="preserve"> au début du cours et les connaissances puisées dans les textes obligatoires du module Fondements. </w:t>
      </w:r>
      <w:r w:rsidR="00F05CA3">
        <w:t>Cette présentation</w:t>
      </w:r>
      <w:r w:rsidR="0060144B">
        <w:t> :</w:t>
      </w:r>
    </w:p>
    <w:p w:rsidR="0060144B" w:rsidRDefault="00F05CA3" w:rsidP="003E77DC">
      <w:pPr>
        <w:pStyle w:val="Paragraphedeliste"/>
        <w:numPr>
          <w:ilvl w:val="0"/>
          <w:numId w:val="16"/>
        </w:numPr>
        <w:jc w:val="both"/>
      </w:pPr>
      <w:r>
        <w:t>fait état de la présence ou de l’absence de changements dans la conception initiale</w:t>
      </w:r>
      <w:r w:rsidR="0060144B">
        <w:t>;</w:t>
      </w:r>
    </w:p>
    <w:p w:rsidR="0060144B" w:rsidRDefault="00F05CA3" w:rsidP="003E77DC">
      <w:pPr>
        <w:pStyle w:val="Paragraphedeliste"/>
        <w:numPr>
          <w:ilvl w:val="0"/>
          <w:numId w:val="16"/>
        </w:numPr>
        <w:jc w:val="both"/>
      </w:pPr>
      <w:r>
        <w:t>indique clairement les sources  d’information et l’ampleur des changement</w:t>
      </w:r>
      <w:r w:rsidR="0060144B">
        <w:t>s</w:t>
      </w:r>
      <w:r>
        <w:t xml:space="preserve"> constaté</w:t>
      </w:r>
      <w:r w:rsidR="0060144B">
        <w:t>s;</w:t>
      </w:r>
    </w:p>
    <w:p w:rsidR="00F05CA3" w:rsidRDefault="00F05CA3" w:rsidP="003E77DC">
      <w:pPr>
        <w:pStyle w:val="Paragraphedeliste"/>
        <w:numPr>
          <w:ilvl w:val="0"/>
          <w:numId w:val="16"/>
        </w:numPr>
        <w:jc w:val="both"/>
      </w:pPr>
      <w:r>
        <w:t>pose un regard critique sur la différence (ou l’absence de différence) entre la conception initiale et la conception révisée suite aux lectures.</w:t>
      </w:r>
    </w:p>
    <w:p w:rsidR="00A64253" w:rsidRDefault="00A64253" w:rsidP="003E77DC">
      <w:pPr>
        <w:jc w:val="both"/>
      </w:pPr>
      <w:r w:rsidRPr="00AD1D59">
        <w:rPr>
          <w:b/>
        </w:rPr>
        <w:t>Cohérence </w:t>
      </w:r>
      <w:r>
        <w:t xml:space="preserve">: les idées présentées sont regroupés en grands ensembles </w:t>
      </w:r>
      <w:r w:rsidR="00F05CA3">
        <w:t xml:space="preserve">liés aux dimensions analysées. Les lectures sont utilisées pour apporter des arguments ciblant les différentes </w:t>
      </w:r>
      <w:r w:rsidR="00F05CA3">
        <w:lastRenderedPageBreak/>
        <w:t>dimensions.  L</w:t>
      </w:r>
      <w:r>
        <w:t>’enchaînement des idées à l’intérieur de chaque regroupement est progres</w:t>
      </w:r>
      <w:r w:rsidR="00F05CA3">
        <w:t xml:space="preserve">sif et exempt de contradictions. </w:t>
      </w:r>
    </w:p>
    <w:p w:rsidR="00A64253" w:rsidRDefault="00A64253" w:rsidP="003E77DC">
      <w:pPr>
        <w:jc w:val="both"/>
      </w:pPr>
      <w:r w:rsidRPr="00AD1D59">
        <w:rPr>
          <w:b/>
        </w:rPr>
        <w:t>Clarté</w:t>
      </w:r>
      <w:r>
        <w:t xml:space="preserve"> : Les idées sont exprimées de façon précise, en utilisant des mots appropriés, en apportant des nuances nécessaires et en utilisant adéquatement les transitions entre les paragraphes.  La présentation de la théorie personnelle </w:t>
      </w:r>
      <w:r w:rsidR="00F05CA3">
        <w:t xml:space="preserve">révisée </w:t>
      </w:r>
      <w:r>
        <w:t>permet au lecteur de saisir aisément de quoi il est question, sans avoir à chercher dans le texte les éléments qui permettent de mieux comprendre la structure d’ensemble de la théorie énoncée.</w:t>
      </w:r>
    </w:p>
    <w:p w:rsidR="00A64253" w:rsidRDefault="00A64253" w:rsidP="003E77DC">
      <w:pPr>
        <w:jc w:val="both"/>
      </w:pPr>
      <w:r w:rsidRPr="00AD1D59">
        <w:rPr>
          <w:b/>
        </w:rPr>
        <w:t>Concision </w:t>
      </w:r>
      <w:r w:rsidR="00792C76">
        <w:t xml:space="preserve">: </w:t>
      </w:r>
      <w:r>
        <w:t>Les idées sont exprimées de façon concise, ce qui veut dire que les mots choisis sont à la fois justes et suffisants. Le texte ne présente pas de digressions, de phrases trop longues ou d’accumulations de phrases décrivant la même idée.</w:t>
      </w:r>
    </w:p>
    <w:p w:rsidR="00C440A6" w:rsidRPr="00B60875" w:rsidRDefault="00C440A6" w:rsidP="00B60875">
      <w:pPr>
        <w:pBdr>
          <w:top w:val="single" w:sz="4" w:space="1" w:color="auto"/>
          <w:left w:val="single" w:sz="4" w:space="4" w:color="auto"/>
          <w:bottom w:val="single" w:sz="4" w:space="1" w:color="auto"/>
          <w:right w:val="single" w:sz="4" w:space="4" w:color="auto"/>
        </w:pBdr>
        <w:rPr>
          <w:b/>
          <w:color w:val="943634" w:themeColor="accent2" w:themeShade="BF"/>
        </w:rPr>
      </w:pPr>
      <w:r w:rsidRPr="00B60875">
        <w:rPr>
          <w:b/>
          <w:color w:val="943634" w:themeColor="accent2" w:themeShade="BF"/>
        </w:rPr>
        <w:t>Conseil</w:t>
      </w:r>
      <w:r w:rsidR="00813E5D">
        <w:rPr>
          <w:b/>
          <w:color w:val="943634" w:themeColor="accent2" w:themeShade="BF"/>
        </w:rPr>
        <w:t>s</w:t>
      </w:r>
      <w:r w:rsidRPr="00B60875">
        <w:rPr>
          <w:b/>
          <w:color w:val="943634" w:themeColor="accent2" w:themeShade="BF"/>
        </w:rPr>
        <w:t xml:space="preserve"> pour la présentation des références bibliographiques </w:t>
      </w:r>
    </w:p>
    <w:p w:rsidR="00C440A6" w:rsidRDefault="00C440A6" w:rsidP="003E77DC">
      <w:pPr>
        <w:jc w:val="both"/>
      </w:pPr>
      <w:r w:rsidRPr="00C440A6">
        <w:t>Dans ce travail, vous utiliserez plusieurs textes du module Fondements.</w:t>
      </w:r>
      <w:r>
        <w:t xml:space="preserve"> Vous devrez donc constituer une bibliographie des textes cités, qui figurera à la fin de votre document.</w:t>
      </w:r>
    </w:p>
    <w:p w:rsidR="00C440A6" w:rsidRDefault="00C440A6" w:rsidP="003E77DC">
      <w:pPr>
        <w:jc w:val="both"/>
      </w:pPr>
      <w:r>
        <w:t xml:space="preserve">Voici </w:t>
      </w:r>
      <w:r w:rsidR="003E77DC">
        <w:t>trois</w:t>
      </w:r>
      <w:r>
        <w:t xml:space="preserve"> stratégies pour constituer la liste de références utilisés dans votre texte (la bibliographie) :</w:t>
      </w:r>
    </w:p>
    <w:p w:rsidR="00C440A6" w:rsidRDefault="00C440A6" w:rsidP="003E77DC">
      <w:pPr>
        <w:pStyle w:val="Paragraphedeliste"/>
        <w:numPr>
          <w:ilvl w:val="0"/>
          <w:numId w:val="17"/>
        </w:numPr>
        <w:jc w:val="both"/>
      </w:pPr>
      <w:r>
        <w:t>La première stratégie est rapid</w:t>
      </w:r>
      <w:r w:rsidR="003E77DC">
        <w:t>e et efficace à court terme,</w:t>
      </w:r>
      <w:r>
        <w:t xml:space="preserve"> mais elle ne permet pas d’apprendre les principes de citation qui vous seront utiles tout au long de vos études universitaire. Il s’agit tout simplement de « copier-coller » les titres des textes tels que cités dans le site ou dans les documents du cours. </w:t>
      </w:r>
    </w:p>
    <w:p w:rsidR="00A7083A" w:rsidRDefault="00C440A6" w:rsidP="00A7083A">
      <w:pPr>
        <w:pStyle w:val="Paragraphedeliste"/>
        <w:numPr>
          <w:ilvl w:val="0"/>
          <w:numId w:val="17"/>
        </w:numPr>
        <w:jc w:val="both"/>
      </w:pPr>
      <w:r>
        <w:t>La deuxième stratégie est d’investir du temps pour mieux maîtriser les règles de citation. En sciences humaines et sociales, ces règles peuvent être différentes selon les disciplines, les revues scientifiques, etc. Parmi ces règles, les « normes de citation des sources de l’APA (</w:t>
      </w:r>
      <w:r w:rsidRPr="00B46A28">
        <w:rPr>
          <w:i/>
        </w:rPr>
        <w:t>American Psychological Association</w:t>
      </w:r>
      <w:r>
        <w:t>), deviennent de plus en plus populaires</w:t>
      </w:r>
      <w:r w:rsidR="00B60875">
        <w:t>. Elles sont exigées dans l’ensemble de cours en éducation de la Téluq. Vous pouvez avoir une information complète à ce sujet sur</w:t>
      </w:r>
      <w:r w:rsidR="00A7083A">
        <w:t xml:space="preserve"> le site de la bibliothèque de la TÉLUQ</w:t>
      </w:r>
      <w:r w:rsidR="00B60875">
        <w:t>:</w:t>
      </w:r>
    </w:p>
    <w:p w:rsidR="00A7083A" w:rsidRDefault="00A7083A" w:rsidP="00A7083A">
      <w:pPr>
        <w:pStyle w:val="Paragraphedeliste"/>
        <w:numPr>
          <w:ilvl w:val="1"/>
          <w:numId w:val="17"/>
        </w:numPr>
        <w:jc w:val="both"/>
      </w:pPr>
      <w:hyperlink r:id="rId7" w:history="1">
        <w:r>
          <w:rPr>
            <w:rStyle w:val="Lienhypertexte"/>
          </w:rPr>
          <w:t>https://bibliotheque.teluq.ca/c.php?g=712515</w:t>
        </w:r>
      </w:hyperlink>
    </w:p>
    <w:p w:rsidR="00B60875" w:rsidRDefault="00B60875" w:rsidP="003E77DC">
      <w:pPr>
        <w:pStyle w:val="Paragraphedeliste"/>
        <w:numPr>
          <w:ilvl w:val="0"/>
          <w:numId w:val="17"/>
        </w:numPr>
        <w:jc w:val="both"/>
      </w:pPr>
      <w:r>
        <w:t xml:space="preserve">La troisième stratégie demande aussi du temps, mais elle constitue également un investissement payant à long terme pour celles et ceux qui souhaitent poursuivre leurs études universitaires. Il s’agit d’apprendre à utiliser un outil informatisé de gestion de ressources bibliographiques. À la Téluq, tous les étudiants peuvent télécharger gratuitement le logiciel End Note, disponible sur le site de la Bibliothèque à distance : </w:t>
      </w:r>
    </w:p>
    <w:p w:rsidR="00A7083A" w:rsidRDefault="00A7083A" w:rsidP="00A7083A">
      <w:pPr>
        <w:pStyle w:val="Paragraphedeliste"/>
        <w:numPr>
          <w:ilvl w:val="1"/>
          <w:numId w:val="17"/>
        </w:numPr>
        <w:jc w:val="both"/>
      </w:pPr>
      <w:hyperlink r:id="rId8" w:anchor="Ref_Biblio" w:history="1">
        <w:r>
          <w:rPr>
            <w:rStyle w:val="Lienhypertexte"/>
          </w:rPr>
          <w:t>https://bibliotheque.teluq.ca/Ressources_Logiciels/#Ref_Biblio</w:t>
        </w:r>
      </w:hyperlink>
    </w:p>
    <w:p w:rsidR="00A7083A" w:rsidRDefault="00B60875" w:rsidP="00A7083A">
      <w:pPr>
        <w:pStyle w:val="Paragraphedeliste"/>
        <w:numPr>
          <w:ilvl w:val="0"/>
          <w:numId w:val="17"/>
        </w:numPr>
        <w:jc w:val="both"/>
      </w:pPr>
      <w:r>
        <w:t>Sur ce site vous trouverez une mine d’i</w:t>
      </w:r>
      <w:r w:rsidR="005835B2">
        <w:t>nformation sur l’utilisation de</w:t>
      </w:r>
      <w:r>
        <w:t xml:space="preserve"> logiciels de gestion de références bibliographiques :</w:t>
      </w:r>
    </w:p>
    <w:bookmarkStart w:id="0" w:name="_GoBack"/>
    <w:bookmarkEnd w:id="0"/>
    <w:p w:rsidR="003E77DC" w:rsidRPr="00A7083A" w:rsidRDefault="001C0969" w:rsidP="00A7083A">
      <w:pPr>
        <w:pStyle w:val="Paragraphedeliste"/>
        <w:numPr>
          <w:ilvl w:val="1"/>
          <w:numId w:val="17"/>
        </w:numPr>
        <w:jc w:val="both"/>
      </w:pPr>
      <w:r>
        <w:fldChar w:fldCharType="begin"/>
      </w:r>
      <w:r>
        <w:instrText xml:space="preserve"> HYPERLINK "http://carrefour.</w:instrText>
      </w:r>
      <w:r>
        <w:instrText xml:space="preserve">uquebec.ca/" </w:instrText>
      </w:r>
      <w:r>
        <w:fldChar w:fldCharType="separate"/>
      </w:r>
      <w:r w:rsidR="003E77DC" w:rsidRPr="00C652C8">
        <w:rPr>
          <w:rStyle w:val="Lienhypertexte"/>
        </w:rPr>
        <w:t>http://carrefour.uquebec.ca/</w:t>
      </w:r>
      <w:r>
        <w:rPr>
          <w:rStyle w:val="Lienhypertexte"/>
        </w:rPr>
        <w:fldChar w:fldCharType="end"/>
      </w:r>
    </w:p>
    <w:p w:rsidR="003E77DC" w:rsidRPr="003E77DC" w:rsidRDefault="009E47A1" w:rsidP="003E77DC">
      <w:pPr>
        <w:jc w:val="both"/>
        <w:rPr>
          <w:b/>
        </w:rPr>
      </w:pPr>
      <w:r>
        <w:rPr>
          <w:b/>
        </w:rPr>
        <w:t>Bonne continuation</w:t>
      </w:r>
      <w:r w:rsidR="003E77DC" w:rsidRPr="003E77DC">
        <w:rPr>
          <w:b/>
        </w:rPr>
        <w:t xml:space="preserve"> !</w:t>
      </w:r>
    </w:p>
    <w:sectPr w:rsidR="003E77DC" w:rsidRPr="003E77DC">
      <w:headerReference w:type="default"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69" w:rsidRDefault="001C0969" w:rsidP="00F72957">
      <w:pPr>
        <w:spacing w:after="0" w:line="240" w:lineRule="auto"/>
      </w:pPr>
      <w:r>
        <w:separator/>
      </w:r>
    </w:p>
  </w:endnote>
  <w:endnote w:type="continuationSeparator" w:id="0">
    <w:p w:rsidR="001C0969" w:rsidRDefault="001C0969" w:rsidP="00F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57" w:rsidRDefault="00F72957">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Béatrice Pudelko – 2017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eastAsiaTheme="minorEastAsia"/>
      </w:rPr>
      <w:fldChar w:fldCharType="begin"/>
    </w:r>
    <w:r>
      <w:instrText>PAGE   \* MERGEFORMAT</w:instrText>
    </w:r>
    <w:r>
      <w:rPr>
        <w:rFonts w:eastAsiaTheme="minorEastAsia"/>
      </w:rPr>
      <w:fldChar w:fldCharType="separate"/>
    </w:r>
    <w:r w:rsidR="00A7083A" w:rsidRPr="00A7083A">
      <w:rPr>
        <w:rFonts w:asciiTheme="majorHAnsi" w:eastAsiaTheme="majorEastAsia" w:hAnsiTheme="majorHAnsi" w:cstheme="majorBidi"/>
        <w:noProof/>
        <w:lang w:val="fr-FR"/>
      </w:rPr>
      <w:t>3</w:t>
    </w:r>
    <w:r>
      <w:rPr>
        <w:rFonts w:asciiTheme="majorHAnsi" w:eastAsiaTheme="majorEastAsia" w:hAnsiTheme="majorHAnsi" w:cstheme="majorBidi"/>
      </w:rPr>
      <w:fldChar w:fldCharType="end"/>
    </w:r>
  </w:p>
  <w:p w:rsidR="00F72957" w:rsidRDefault="00F729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69" w:rsidRDefault="001C0969" w:rsidP="00F72957">
      <w:pPr>
        <w:spacing w:after="0" w:line="240" w:lineRule="auto"/>
      </w:pPr>
      <w:r>
        <w:separator/>
      </w:r>
    </w:p>
  </w:footnote>
  <w:footnote w:type="continuationSeparator" w:id="0">
    <w:p w:rsidR="001C0969" w:rsidRDefault="001C0969" w:rsidP="00F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57" w:rsidRPr="00F72957" w:rsidRDefault="00F72957" w:rsidP="00542D9C">
    <w:pPr>
      <w:pStyle w:val="En-tte"/>
      <w:jc w:val="center"/>
      <w:rPr>
        <w:b/>
        <w:color w:val="943634" w:themeColor="accent2" w:themeShade="BF"/>
      </w:rPr>
    </w:pPr>
    <w:r w:rsidRPr="00F72957">
      <w:rPr>
        <w:b/>
        <w:color w:val="943634" w:themeColor="accent2" w:themeShade="BF"/>
      </w:rPr>
      <w:t>EDU 1040 Théories de l’apprentissage et éducation des adultes</w:t>
    </w:r>
  </w:p>
  <w:p w:rsidR="00F72957" w:rsidRDefault="00F729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625"/>
    <w:multiLevelType w:val="hybridMultilevel"/>
    <w:tmpl w:val="357419DC"/>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75E283E"/>
    <w:multiLevelType w:val="multilevel"/>
    <w:tmpl w:val="284C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A21DB"/>
    <w:multiLevelType w:val="hybridMultilevel"/>
    <w:tmpl w:val="121C0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4D0D17"/>
    <w:multiLevelType w:val="hybridMultilevel"/>
    <w:tmpl w:val="94E0C3A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4" w15:restartNumberingAfterBreak="0">
    <w:nsid w:val="312C18EA"/>
    <w:multiLevelType w:val="hybridMultilevel"/>
    <w:tmpl w:val="F3ACC1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945B45"/>
    <w:multiLevelType w:val="hybridMultilevel"/>
    <w:tmpl w:val="50B6A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88868D9"/>
    <w:multiLevelType w:val="hybridMultilevel"/>
    <w:tmpl w:val="299C9A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EF972B8"/>
    <w:multiLevelType w:val="hybridMultilevel"/>
    <w:tmpl w:val="4DB8E78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0E40B77"/>
    <w:multiLevelType w:val="hybridMultilevel"/>
    <w:tmpl w:val="49E40F12"/>
    <w:lvl w:ilvl="0" w:tplc="A57C3464">
      <w:start w:val="3"/>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3285EE9"/>
    <w:multiLevelType w:val="hybridMultilevel"/>
    <w:tmpl w:val="2BE8C36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E87234E"/>
    <w:multiLevelType w:val="hybridMultilevel"/>
    <w:tmpl w:val="8AF41E1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2D25C1F"/>
    <w:multiLevelType w:val="hybridMultilevel"/>
    <w:tmpl w:val="CF9C499A"/>
    <w:lvl w:ilvl="0" w:tplc="A57C3464">
      <w:start w:val="3"/>
      <w:numFmt w:val="bullet"/>
      <w:lvlText w:val="-"/>
      <w:lvlJc w:val="left"/>
      <w:pPr>
        <w:ind w:left="765" w:hanging="360"/>
      </w:pPr>
      <w:rPr>
        <w:rFonts w:ascii="Calibri" w:eastAsiaTheme="minorHAnsi" w:hAnsi="Calibri" w:cstheme="minorBidi"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12" w15:restartNumberingAfterBreak="0">
    <w:nsid w:val="644E47C8"/>
    <w:multiLevelType w:val="hybridMultilevel"/>
    <w:tmpl w:val="13B422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8EE4E5D"/>
    <w:multiLevelType w:val="hybridMultilevel"/>
    <w:tmpl w:val="357419DC"/>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C233DD0"/>
    <w:multiLevelType w:val="hybridMultilevel"/>
    <w:tmpl w:val="102EF3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782770D"/>
    <w:multiLevelType w:val="hybridMultilevel"/>
    <w:tmpl w:val="1FCA04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F412508"/>
    <w:multiLevelType w:val="multilevel"/>
    <w:tmpl w:val="0C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12"/>
  </w:num>
  <w:num w:numId="4">
    <w:abstractNumId w:val="15"/>
  </w:num>
  <w:num w:numId="5">
    <w:abstractNumId w:val="7"/>
  </w:num>
  <w:num w:numId="6">
    <w:abstractNumId w:val="9"/>
  </w:num>
  <w:num w:numId="7">
    <w:abstractNumId w:val="10"/>
  </w:num>
  <w:num w:numId="8">
    <w:abstractNumId w:val="6"/>
  </w:num>
  <w:num w:numId="9">
    <w:abstractNumId w:val="8"/>
  </w:num>
  <w:num w:numId="10">
    <w:abstractNumId w:val="4"/>
  </w:num>
  <w:num w:numId="11">
    <w:abstractNumId w:val="2"/>
  </w:num>
  <w:num w:numId="12">
    <w:abstractNumId w:val="1"/>
  </w:num>
  <w:num w:numId="13">
    <w:abstractNumId w:val="11"/>
  </w:num>
  <w:num w:numId="14">
    <w:abstractNumId w:val="3"/>
  </w:num>
  <w:num w:numId="15">
    <w:abstractNumId w:val="1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4A"/>
    <w:rsid w:val="000008FA"/>
    <w:rsid w:val="00007E7B"/>
    <w:rsid w:val="0002774A"/>
    <w:rsid w:val="000A3554"/>
    <w:rsid w:val="000C7A5D"/>
    <w:rsid w:val="001416B0"/>
    <w:rsid w:val="00142743"/>
    <w:rsid w:val="00157A05"/>
    <w:rsid w:val="00157CA5"/>
    <w:rsid w:val="00161DCE"/>
    <w:rsid w:val="001747EC"/>
    <w:rsid w:val="001825D8"/>
    <w:rsid w:val="001844FD"/>
    <w:rsid w:val="001B4128"/>
    <w:rsid w:val="001C0969"/>
    <w:rsid w:val="001F115E"/>
    <w:rsid w:val="002A1560"/>
    <w:rsid w:val="002C349D"/>
    <w:rsid w:val="002F3BD3"/>
    <w:rsid w:val="00301B82"/>
    <w:rsid w:val="00306F16"/>
    <w:rsid w:val="00312D38"/>
    <w:rsid w:val="00312DC8"/>
    <w:rsid w:val="0034771A"/>
    <w:rsid w:val="003D6B63"/>
    <w:rsid w:val="003E77DC"/>
    <w:rsid w:val="00414F7E"/>
    <w:rsid w:val="00436C60"/>
    <w:rsid w:val="004743DA"/>
    <w:rsid w:val="004A7274"/>
    <w:rsid w:val="004F0F25"/>
    <w:rsid w:val="004F601D"/>
    <w:rsid w:val="00522C35"/>
    <w:rsid w:val="00542D9C"/>
    <w:rsid w:val="0054784A"/>
    <w:rsid w:val="005835B2"/>
    <w:rsid w:val="005838BD"/>
    <w:rsid w:val="00586142"/>
    <w:rsid w:val="005A71CE"/>
    <w:rsid w:val="005B7538"/>
    <w:rsid w:val="0060144B"/>
    <w:rsid w:val="006912A6"/>
    <w:rsid w:val="00695B17"/>
    <w:rsid w:val="00705679"/>
    <w:rsid w:val="007112CD"/>
    <w:rsid w:val="00711823"/>
    <w:rsid w:val="00723357"/>
    <w:rsid w:val="00727B26"/>
    <w:rsid w:val="0075144B"/>
    <w:rsid w:val="00787FC3"/>
    <w:rsid w:val="00792C76"/>
    <w:rsid w:val="0079382C"/>
    <w:rsid w:val="007A4509"/>
    <w:rsid w:val="007D2926"/>
    <w:rsid w:val="00804734"/>
    <w:rsid w:val="00811B64"/>
    <w:rsid w:val="00813C8A"/>
    <w:rsid w:val="00813E5D"/>
    <w:rsid w:val="00830C36"/>
    <w:rsid w:val="00835240"/>
    <w:rsid w:val="00835A1F"/>
    <w:rsid w:val="008801D9"/>
    <w:rsid w:val="008B7A0F"/>
    <w:rsid w:val="008C1ECE"/>
    <w:rsid w:val="008E1949"/>
    <w:rsid w:val="009570F5"/>
    <w:rsid w:val="009E47A1"/>
    <w:rsid w:val="00A00675"/>
    <w:rsid w:val="00A32466"/>
    <w:rsid w:val="00A37463"/>
    <w:rsid w:val="00A539BE"/>
    <w:rsid w:val="00A56FA3"/>
    <w:rsid w:val="00A64253"/>
    <w:rsid w:val="00A7083A"/>
    <w:rsid w:val="00AB760D"/>
    <w:rsid w:val="00AC0905"/>
    <w:rsid w:val="00AC7BA4"/>
    <w:rsid w:val="00AD075B"/>
    <w:rsid w:val="00B24109"/>
    <w:rsid w:val="00B46A28"/>
    <w:rsid w:val="00B52C59"/>
    <w:rsid w:val="00B60875"/>
    <w:rsid w:val="00B6275C"/>
    <w:rsid w:val="00B80B35"/>
    <w:rsid w:val="00BA54E6"/>
    <w:rsid w:val="00BC43A5"/>
    <w:rsid w:val="00BE02A4"/>
    <w:rsid w:val="00BE32B0"/>
    <w:rsid w:val="00BF149A"/>
    <w:rsid w:val="00BF2757"/>
    <w:rsid w:val="00BF5999"/>
    <w:rsid w:val="00C2551E"/>
    <w:rsid w:val="00C440A6"/>
    <w:rsid w:val="00CA1E59"/>
    <w:rsid w:val="00CE4B52"/>
    <w:rsid w:val="00CF3AF9"/>
    <w:rsid w:val="00D545B5"/>
    <w:rsid w:val="00DE3E99"/>
    <w:rsid w:val="00E1589E"/>
    <w:rsid w:val="00E16118"/>
    <w:rsid w:val="00E36A45"/>
    <w:rsid w:val="00E36F8C"/>
    <w:rsid w:val="00E66E9A"/>
    <w:rsid w:val="00EB45E2"/>
    <w:rsid w:val="00EE4BB4"/>
    <w:rsid w:val="00F01935"/>
    <w:rsid w:val="00F05CA3"/>
    <w:rsid w:val="00F72957"/>
    <w:rsid w:val="00F83925"/>
    <w:rsid w:val="00F84D4C"/>
    <w:rsid w:val="00F86C02"/>
    <w:rsid w:val="00FD0A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CBB4"/>
  <w15:docId w15:val="{935F96E5-3A27-4B21-B006-88CE64D6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B4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B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32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784A"/>
    <w:pPr>
      <w:ind w:left="720"/>
      <w:contextualSpacing/>
    </w:pPr>
  </w:style>
  <w:style w:type="table" w:styleId="Grilledutableau">
    <w:name w:val="Table Grid"/>
    <w:basedOn w:val="TableauNormal"/>
    <w:uiPriority w:val="59"/>
    <w:rsid w:val="0069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B412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B412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32466"/>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F72957"/>
    <w:pPr>
      <w:tabs>
        <w:tab w:val="center" w:pos="4320"/>
        <w:tab w:val="right" w:pos="8640"/>
      </w:tabs>
      <w:spacing w:after="0" w:line="240" w:lineRule="auto"/>
    </w:pPr>
  </w:style>
  <w:style w:type="character" w:customStyle="1" w:styleId="En-tteCar">
    <w:name w:val="En-tête Car"/>
    <w:basedOn w:val="Policepardfaut"/>
    <w:link w:val="En-tte"/>
    <w:uiPriority w:val="99"/>
    <w:rsid w:val="00F72957"/>
  </w:style>
  <w:style w:type="paragraph" w:styleId="Pieddepage">
    <w:name w:val="footer"/>
    <w:basedOn w:val="Normal"/>
    <w:link w:val="PieddepageCar"/>
    <w:uiPriority w:val="99"/>
    <w:unhideWhenUsed/>
    <w:rsid w:val="00F7295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72957"/>
  </w:style>
  <w:style w:type="paragraph" w:styleId="Textedebulles">
    <w:name w:val="Balloon Text"/>
    <w:basedOn w:val="Normal"/>
    <w:link w:val="TextedebullesCar"/>
    <w:uiPriority w:val="99"/>
    <w:semiHidden/>
    <w:unhideWhenUsed/>
    <w:rsid w:val="00F729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957"/>
    <w:rPr>
      <w:rFonts w:ascii="Tahoma" w:hAnsi="Tahoma" w:cs="Tahoma"/>
      <w:sz w:val="16"/>
      <w:szCs w:val="16"/>
    </w:rPr>
  </w:style>
  <w:style w:type="character" w:styleId="Lienhypertexte">
    <w:name w:val="Hyperlink"/>
    <w:basedOn w:val="Policepardfaut"/>
    <w:uiPriority w:val="99"/>
    <w:unhideWhenUsed/>
    <w:rsid w:val="00B60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teluq.ca/Ressources_Logiciels/" TargetMode="External"/><Relationship Id="rId3" Type="http://schemas.openxmlformats.org/officeDocument/2006/relationships/settings" Target="settings.xml"/><Relationship Id="rId7" Type="http://schemas.openxmlformats.org/officeDocument/2006/relationships/hyperlink" Target="https://bibliotheque.teluq.ca/c.php?g=712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1179</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BPudelko</dc:creator>
  <cp:lastModifiedBy>Béatrice Pudelko</cp:lastModifiedBy>
  <cp:revision>3</cp:revision>
  <cp:lastPrinted>2017-01-17T22:04:00Z</cp:lastPrinted>
  <dcterms:created xsi:type="dcterms:W3CDTF">2019-11-07T15:31:00Z</dcterms:created>
  <dcterms:modified xsi:type="dcterms:W3CDTF">2019-11-07T15:36:00Z</dcterms:modified>
</cp:coreProperties>
</file>